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FFE2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center"/>
        <w:rPr>
          <w:rFonts w:hint="eastAsia" w:ascii="华文中宋" w:hAnsi="华文中宋" w:eastAsia="华文中宋" w:cs="华文中宋"/>
          <w:b/>
          <w:bCs/>
          <w:sz w:val="36"/>
          <w:szCs w:val="36"/>
          <w:lang w:val="en-US" w:eastAsia="zh-CN"/>
        </w:rPr>
      </w:pPr>
      <w:r>
        <w:rPr>
          <w:rFonts w:hint="eastAsia"/>
          <w:lang w:val="en-US" w:eastAsia="zh-CN"/>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11264900</wp:posOffset>
            </wp:positionV>
            <wp:extent cx="381000" cy="2667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a:stretch>
                      <a:fillRect/>
                    </a:stretch>
                  </pic:blipFill>
                  <pic:spPr>
                    <a:xfrm>
                      <a:off x="0" y="0"/>
                      <a:ext cx="381000" cy="266700"/>
                    </a:xfrm>
                    <a:prstGeom prst="rect">
                      <a:avLst/>
                    </a:prstGeom>
                  </pic:spPr>
                </pic:pic>
              </a:graphicData>
            </a:graphic>
          </wp:anchor>
        </w:drawing>
      </w:r>
      <w:r>
        <w:drawing>
          <wp:inline distT="0" distB="0" distL="114300" distR="114300">
            <wp:extent cx="12700" cy="12700"/>
            <wp:effectExtent l="0" t="0" r="8890" b="317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hint="eastAsia"/>
          <w:lang w:val="en-US" w:eastAsia="zh-CN"/>
        </w:rPr>
        <w:t xml:space="preserve">                       </w:t>
      </w:r>
      <w:r>
        <w:rPr>
          <w:rFonts w:hint="eastAsia"/>
          <w:b/>
          <w:bCs/>
          <w:sz w:val="36"/>
          <w:szCs w:val="36"/>
          <w:lang w:val="en-US" w:eastAsia="zh-CN"/>
        </w:rPr>
        <w:t xml:space="preserve"> </w:t>
      </w:r>
      <w:r>
        <w:rPr>
          <w:rFonts w:hint="eastAsia" w:ascii="华文中宋" w:hAnsi="华文中宋" w:eastAsia="华文中宋" w:cs="华文中宋"/>
          <w:b/>
          <w:bCs/>
          <w:sz w:val="36"/>
          <w:szCs w:val="36"/>
          <w:lang w:val="en-US" w:eastAsia="zh-CN"/>
        </w:rPr>
        <w:t>2024-2025学年(下)安徽高三3月调研考试</w:t>
      </w:r>
    </w:p>
    <w:p w14:paraId="074E471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060" w:firstLineChars="1400"/>
        <w:jc w:val="left"/>
        <w:textAlignment w:val="center"/>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思想政治</w:t>
      </w:r>
    </w:p>
    <w:p w14:paraId="37BC243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考生注意:</w:t>
      </w:r>
    </w:p>
    <w:p w14:paraId="46A69F8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1.答题前,考生务必将自己的姓名、考生号填写在试卷和答题卡上,并将考生号条形码粘贴在答题卡上的指定位置。</w:t>
      </w:r>
    </w:p>
    <w:p w14:paraId="3AF3011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2.回答选择题时,选出每小题答案后,用铅笔把答题卡对应题目的答案标号涂黑。如需改动,用橡皮擦干净后，再选涂其他答案标号。回答非选择题时,将答案写在答题卡上。写在本试卷上无效。</w:t>
      </w:r>
    </w:p>
    <w:p w14:paraId="17D012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3.考试结束后,将本试卷和答题卡一并交回。</w:t>
      </w:r>
    </w:p>
    <w:p w14:paraId="0C725C8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rPr>
      </w:pPr>
      <w:r>
        <w:rPr>
          <w:rFonts w:hint="eastAsia"/>
          <w:b/>
          <w:bCs/>
        </w:rPr>
        <w:t>一、选择题:本题共16小题,每小题3分,共48分。在每小题给出的四个选项中,只有一项是符合题目要求的。</w:t>
      </w:r>
    </w:p>
    <w:p w14:paraId="57713F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宋体"/>
          <w:lang w:eastAsia="zh-CN"/>
        </w:rPr>
      </w:pPr>
      <w:r>
        <w:rPr>
          <w:rFonts w:hint="eastAsia"/>
        </w:rPr>
        <w:t>1.1939 年底,毛泽东同志在延安对一位进马列学院学习的同志说:“遇到问题,我就翻阅《共产党宣言》,每读一遍,我都有新的启发。”《共产党宣言》用历史唯物主义观点分析历史和现实,将人类历史的图景、资本主义社会的历史运动及其内在危机、对共产主义的构想整体呈现了出来。由此可见,在新时代重温《共产党宣言》</w:t>
      </w:r>
      <w:r>
        <w:rPr>
          <w:rFonts w:hint="eastAsia"/>
          <w:lang w:eastAsia="zh-CN"/>
        </w:rPr>
        <w:t>（</w:t>
      </w:r>
      <w:r>
        <w:rPr>
          <w:rFonts w:hint="eastAsia"/>
          <w:lang w:val="en-US" w:eastAsia="zh-CN"/>
        </w:rPr>
        <w:t xml:space="preserve">     </w:t>
      </w:r>
      <w:r>
        <w:rPr>
          <w:rFonts w:hint="eastAsia"/>
          <w:lang w:eastAsia="zh-CN"/>
        </w:rPr>
        <w:t>）</w:t>
      </w:r>
    </w:p>
    <w:p w14:paraId="1F4AEA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①能为开展新的伟大斗争提供理论支持和精神指引</w:t>
      </w:r>
    </w:p>
    <w:p w14:paraId="4B418EE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②能真正明确无产阶级政党始终代表全人类的利益</w:t>
      </w:r>
    </w:p>
    <w:p w14:paraId="79A1D2A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③帮助我们深刻认识支配人类社会发展的基本规律</w:t>
      </w:r>
    </w:p>
    <w:p w14:paraId="153B910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④能为解决当代中国实际问题提供具体方案和方法</w:t>
      </w:r>
    </w:p>
    <w:p w14:paraId="63EE5B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A.①③</w:t>
      </w:r>
      <w:r>
        <w:rPr>
          <w:rFonts w:hint="eastAsia"/>
        </w:rPr>
        <w:tab/>
      </w:r>
      <w:r>
        <w:rPr>
          <w:rFonts w:hint="eastAsia"/>
          <w:lang w:val="en-US" w:eastAsia="zh-CN"/>
        </w:rPr>
        <w:t xml:space="preserve">        </w:t>
      </w:r>
      <w:r>
        <w:rPr>
          <w:rFonts w:hint="eastAsia"/>
        </w:rPr>
        <w:t>B.①④</w:t>
      </w:r>
      <w:r>
        <w:rPr>
          <w:rFonts w:hint="eastAsia"/>
          <w:lang w:val="en-US" w:eastAsia="zh-CN"/>
        </w:rPr>
        <w:t xml:space="preserve">     </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D.②④</w:t>
      </w:r>
      <w:r>
        <w:rPr>
          <w:rFonts w:hint="eastAsia"/>
        </w:rPr>
        <w:tab/>
      </w:r>
    </w:p>
    <w:p w14:paraId="65228BB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2.习近平总书记指出,党的十一届三中全会冲破长期“左”的错误的严重束缚,批评“两个凡是”的错误方针,果断结束“以阶级斗争为纲”,重新确立马克思主义的思想、政治和组织路线。从此,我国改革开放拉开了大幕。这说明十一届三中全会</w:t>
      </w:r>
      <w:r>
        <w:rPr>
          <w:rFonts w:hint="eastAsia"/>
          <w:lang w:eastAsia="zh-CN"/>
        </w:rPr>
        <w:t>（</w:t>
      </w:r>
      <w:r>
        <w:rPr>
          <w:rFonts w:hint="eastAsia"/>
          <w:lang w:val="en-US" w:eastAsia="zh-CN"/>
        </w:rPr>
        <w:t xml:space="preserve">     </w:t>
      </w:r>
      <w:r>
        <w:rPr>
          <w:rFonts w:hint="eastAsia"/>
          <w:lang w:eastAsia="zh-CN"/>
        </w:rPr>
        <w:t>）</w:t>
      </w:r>
    </w:p>
    <w:p w14:paraId="3DED5F4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①实现了中华民族发展史上最深刻的伟大社会变革</w:t>
      </w:r>
    </w:p>
    <w:p w14:paraId="3B9BAC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②开启了改革开放和社会主义现代化建设的新时期</w:t>
      </w:r>
    </w:p>
    <w:p w14:paraId="136352A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③开启了以中国式现代化全面推进民族复兴的伟业</w:t>
      </w:r>
    </w:p>
    <w:p w14:paraId="19C9FC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④正本清源、拨乱反正为改革开放提供了思想先导</w:t>
      </w:r>
    </w:p>
    <w:p w14:paraId="7F45E4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r>
        <w:rPr>
          <w:rFonts w:hint="eastAsia"/>
        </w:rPr>
        <w:tab/>
      </w:r>
    </w:p>
    <w:p w14:paraId="30EB95C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3.逆周期调节是一种宏观经济调控政策,其目的是通过增加或减少货币供应量、征收税收、调整政府支出等手段,来平衡经济周期中处于高峰期和低谷期的经济波动。下列措施中符合逆周期调节的传导路径的是</w:t>
      </w:r>
      <w:r>
        <w:rPr>
          <w:rFonts w:hint="eastAsia"/>
          <w:lang w:eastAsia="zh-CN"/>
        </w:rPr>
        <w:t>（</w:t>
      </w:r>
      <w:r>
        <w:rPr>
          <w:rFonts w:hint="eastAsia"/>
          <w:lang w:val="en-US" w:eastAsia="zh-CN"/>
        </w:rPr>
        <w:t xml:space="preserve">     </w:t>
      </w:r>
      <w:r>
        <w:rPr>
          <w:rFonts w:hint="eastAsia"/>
          <w:lang w:eastAsia="zh-CN"/>
        </w:rPr>
        <w:t>）</w:t>
      </w:r>
    </w:p>
    <w:p w14:paraId="0AAB445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①实施适度宽松的货币政策→增加货币供应量、增强货币流动性→抑制信贷和物价泡沫→抑制社会总需求</w:t>
      </w:r>
    </w:p>
    <w:p w14:paraId="118DDC4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②通过设备更新贷款财政贴息政策→降低企业生产成本→促进企业扩大生产→增加投资需求</w:t>
      </w:r>
    </w:p>
    <w:p w14:paraId="6D72027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③增发超长期特别国债→为重大科技项目的攻坚与落地提供资金支持→提升产业的核心竞争力→扩大社会总需求</w:t>
      </w:r>
    </w:p>
    <w:p w14:paraId="08DE83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④实施更加积极的财政政策→提高存贷款利率→抑制信贷和物价泡沫→减少投资风险、激励民间投资</w:t>
      </w:r>
    </w:p>
    <w:p w14:paraId="7E5F903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D.③④</w:t>
      </w:r>
      <w:r>
        <w:rPr>
          <w:rFonts w:hint="eastAsia"/>
        </w:rPr>
        <w:tab/>
      </w:r>
    </w:p>
    <w:p w14:paraId="5766B96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4.2023年，以新产业、新业态、新商业模式为核心内容的“三新”经济增加值占CDP的比重为17.73%。高性能装备、智能机器人、增材制造、激光制造等技术有力推动“中国制造”迈向更高水平,党的十八大以来,我国规模以上高技术制造业增加值年均增长10.3%。材料表明,我国</w:t>
      </w:r>
      <w:r>
        <w:rPr>
          <w:rFonts w:hint="eastAsia"/>
          <w:lang w:eastAsia="zh-CN"/>
        </w:rPr>
        <w:t>（</w:t>
      </w:r>
      <w:r>
        <w:rPr>
          <w:rFonts w:hint="eastAsia"/>
          <w:lang w:val="en-US" w:eastAsia="zh-CN"/>
        </w:rPr>
        <w:t xml:space="preserve">     </w:t>
      </w:r>
      <w:r>
        <w:rPr>
          <w:rFonts w:hint="eastAsia"/>
          <w:lang w:eastAsia="zh-CN"/>
        </w:rPr>
        <w:t>）</w:t>
      </w:r>
    </w:p>
    <w:p w14:paraId="2619435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①发展新质生产力,建设现代化产业体系</w:t>
      </w:r>
    </w:p>
    <w:p w14:paraId="7191388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②把实体经济发展作为经济发展的立足点</w:t>
      </w:r>
    </w:p>
    <w:p w14:paraId="75DBA52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③科技创新和产业创新的融合更加地紧密</w:t>
      </w:r>
    </w:p>
    <w:p w14:paraId="363A26D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④关键核心技术突破为安全发展保驾护航</w:t>
      </w:r>
    </w:p>
    <w:p w14:paraId="59781CD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r>
        <w:rPr>
          <w:rFonts w:hint="eastAsia"/>
        </w:rPr>
        <w:tab/>
      </w:r>
    </w:p>
    <w:p w14:paraId="06B0E5F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5.建立宪法实施情况报告制度,是党的二十届三中全会首次提出的制度构想。将和已经推行的宪法宣誓制度、国家宪法日等制度机制相似,成为公共政治生活的常态,成为彰显宪法伟力的盛典。建立宪法实施情况报告制度,其意义在于</w:t>
      </w:r>
      <w:r>
        <w:rPr>
          <w:rFonts w:hint="eastAsia"/>
          <w:lang w:eastAsia="zh-CN"/>
        </w:rPr>
        <w:t>（</w:t>
      </w:r>
      <w:r>
        <w:rPr>
          <w:rFonts w:hint="eastAsia"/>
          <w:lang w:val="en-US" w:eastAsia="zh-CN"/>
        </w:rPr>
        <w:t xml:space="preserve">     </w:t>
      </w:r>
      <w:r>
        <w:rPr>
          <w:rFonts w:hint="eastAsia"/>
          <w:lang w:eastAsia="zh-CN"/>
        </w:rPr>
        <w:t>）</w:t>
      </w:r>
    </w:p>
    <w:p w14:paraId="24AF0F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①为强化宪法的监督和实施提供重要的制度支撑</w:t>
      </w:r>
    </w:p>
    <w:p w14:paraId="0449841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②约束公权力的行使,提升依宪履职的行为自觉</w:t>
      </w:r>
    </w:p>
    <w:p w14:paraId="6136E1F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③促进司法机关和行政机关严格执法、公正司法</w:t>
      </w:r>
    </w:p>
    <w:p w14:paraId="7FBEEE1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④使宪法成为国家的根本法和治国安邦的总章程</w:t>
      </w:r>
    </w:p>
    <w:p w14:paraId="5683C3A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r>
        <w:rPr>
          <w:rFonts w:hint="eastAsia"/>
        </w:rPr>
        <w:tab/>
      </w:r>
    </w:p>
    <w:p w14:paraId="260F44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6.某县结合本地实际,建立“143+N”矛盾纠纷多元化解工作机制,由县委政法委主推,人民法院牵头主抓日常工作。以万人成讼率考核为抓手,实现县、乡、村、组矛盾纠纷排查化解“四级联动”,在县、乡、村三级设立法官协理中心、协理站、协理点。2023年共摸排群众矛盾纠纷4338件,同比下降32.52%,成功化解4322件,化解率98.4%。成为新时代“枫桥经验”实践的先进典型。由此可见,健全矛盾纠纷多元化解机制</w:t>
      </w:r>
      <w:r>
        <w:rPr>
          <w:rFonts w:hint="eastAsia"/>
          <w:lang w:eastAsia="zh-CN"/>
        </w:rPr>
        <w:t>（</w:t>
      </w:r>
      <w:r>
        <w:rPr>
          <w:rFonts w:hint="eastAsia"/>
          <w:lang w:val="en-US" w:eastAsia="zh-CN"/>
        </w:rPr>
        <w:t xml:space="preserve">     </w:t>
      </w:r>
      <w:r>
        <w:rPr>
          <w:rFonts w:hint="eastAsia"/>
          <w:lang w:eastAsia="zh-CN"/>
        </w:rPr>
        <w:t>）</w:t>
      </w:r>
    </w:p>
    <w:p w14:paraId="05F1A51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①扩大基层群众民主权利,推动社会治理现代化</w:t>
      </w:r>
    </w:p>
    <w:p w14:paraId="5AFC181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②为构建和谐有序的基层治理提供了有力的支撑</w:t>
      </w:r>
    </w:p>
    <w:p w14:paraId="08494E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③完善基层自治的组织形式,夯实群众自治基础</w:t>
      </w:r>
    </w:p>
    <w:p w14:paraId="76F717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④能促进形成全民尊法守法用法的良好社会氛围</w:t>
      </w:r>
    </w:p>
    <w:p w14:paraId="2140FC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A.①③</w:t>
      </w:r>
      <w:r>
        <w:rPr>
          <w:rFonts w:hint="eastAsia"/>
        </w:rPr>
        <w:tab/>
      </w:r>
      <w:r>
        <w:rPr>
          <w:rFonts w:hint="eastAsia"/>
          <w:lang w:val="en-US" w:eastAsia="zh-CN"/>
        </w:rPr>
        <w:t xml:space="preserve">         </w:t>
      </w:r>
      <w:r>
        <w:rPr>
          <w:rFonts w:hint="eastAsia"/>
        </w:rPr>
        <w:t>B.①④</w:t>
      </w:r>
      <w:r>
        <w:rPr>
          <w:rFonts w:hint="eastAsia"/>
          <w:lang w:val="en-US" w:eastAsia="zh-CN"/>
        </w:rPr>
        <w:t xml:space="preserve">      </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D.②④</w:t>
      </w:r>
      <w:r>
        <w:rPr>
          <w:rFonts w:hint="eastAsia"/>
        </w:rPr>
        <w:tab/>
      </w:r>
    </w:p>
    <w:p w14:paraId="18D6CF0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7.中国共产党优秀党员黄旭华同志的一生,是勤俭朴实、甘于奉献的一生,是“干惊天动地事，做隐姓埋名人”的典范。他积极响应国家号召,投身核潜艇研制事业。他用一生的坚守,诠释了什么是“以身许国”,什么是“国之脊梁”。黄旭华用毕生</w:t>
      </w:r>
      <w:r>
        <w:rPr>
          <w:rFonts w:hint="eastAsia"/>
          <w:lang w:eastAsia="zh-CN"/>
        </w:rPr>
        <w:t>（</w:t>
      </w:r>
      <w:r>
        <w:rPr>
          <w:rFonts w:hint="eastAsia"/>
          <w:lang w:val="en-US" w:eastAsia="zh-CN"/>
        </w:rPr>
        <w:t xml:space="preserve">     </w:t>
      </w:r>
      <w:r>
        <w:rPr>
          <w:rFonts w:hint="eastAsia"/>
          <w:lang w:eastAsia="zh-CN"/>
        </w:rPr>
        <w:t>）</w:t>
      </w:r>
    </w:p>
    <w:p w14:paraId="2BCE8E0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①奉献党和人民的事业,绝无自身任何私利</w:t>
      </w:r>
    </w:p>
    <w:p w14:paraId="204A0CD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②生动诠释了中国共产党不忘初心牢记使命</w:t>
      </w:r>
    </w:p>
    <w:p w14:paraId="6356B45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③全心全意为人民服务,做克己奉公的模范</w:t>
      </w:r>
    </w:p>
    <w:p w14:paraId="760252F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④坚守理想,发挥共产党员的战斗堡垒作用</w:t>
      </w:r>
    </w:p>
    <w:p w14:paraId="1A53755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D.③④</w:t>
      </w:r>
      <w:r>
        <w:rPr>
          <w:rFonts w:hint="eastAsia"/>
        </w:rPr>
        <w:tab/>
      </w:r>
    </w:p>
    <w:p w14:paraId="2074888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8.下列选项与下图漫画(作者:王家春)所蕴含的哲理最相近的是</w:t>
      </w:r>
      <w:r>
        <w:rPr>
          <w:rFonts w:hint="eastAsia"/>
          <w:lang w:eastAsia="zh-CN"/>
        </w:rPr>
        <w:t>（</w:t>
      </w:r>
      <w:r>
        <w:rPr>
          <w:rFonts w:hint="eastAsia"/>
          <w:lang w:val="en-US" w:eastAsia="zh-CN"/>
        </w:rPr>
        <w:t xml:space="preserve">     </w:t>
      </w:r>
      <w:r>
        <w:rPr>
          <w:rFonts w:hint="eastAsia"/>
          <w:lang w:eastAsia="zh-CN"/>
        </w:rPr>
        <w:t>）</w:t>
      </w:r>
    </w:p>
    <w:p w14:paraId="5FA8B95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①重视发挥意识能动作用,善于规避矛盾</w:t>
      </w:r>
      <w:r>
        <w:rPr>
          <w:rFonts w:hint="eastAsia"/>
        </w:rPr>
        <w:tab/>
      </w:r>
      <w:r>
        <w:rPr>
          <w:rFonts w:hint="eastAsia"/>
          <w:lang w:val="en-US" w:eastAsia="zh-CN"/>
        </w:rPr>
        <w:t xml:space="preserve">                 </w:t>
      </w:r>
      <w:r>
        <w:rPr>
          <w:rFonts w:hint="eastAsia"/>
        </w:rPr>
        <w:t>②遇到问题要灵活变通,避免僵化的思维</w:t>
      </w:r>
      <w:r>
        <w:rPr>
          <w:rFonts w:hint="eastAsia"/>
        </w:rPr>
        <w:tab/>
      </w:r>
    </w:p>
    <w:p w14:paraId="65E5FA6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③前进路上要有直面问题勇往直前的决心</w:t>
      </w:r>
      <w:r>
        <w:rPr>
          <w:rFonts w:hint="eastAsia"/>
        </w:rPr>
        <w:tab/>
      </w:r>
      <w:r>
        <w:rPr>
          <w:rFonts w:hint="eastAsia"/>
          <w:lang w:val="en-US" w:eastAsia="zh-CN"/>
        </w:rPr>
        <w:t xml:space="preserve">             </w:t>
      </w:r>
      <w:r>
        <w:rPr>
          <w:rFonts w:hint="eastAsia"/>
        </w:rPr>
        <w:t>④战胜困难需要智慧,具体问题具体分析</w:t>
      </w:r>
      <w:r>
        <w:rPr>
          <w:rFonts w:hint="eastAsia"/>
        </w:rPr>
        <w:tab/>
      </w:r>
    </w:p>
    <w:p w14:paraId="54A003E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A.①③</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D.②④</w:t>
      </w:r>
      <w:r>
        <w:rPr>
          <w:rFonts w:hint="eastAsia"/>
        </w:rPr>
        <w:tab/>
      </w:r>
    </w:p>
    <w:p w14:paraId="765651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9.卢琦在30余年的职业生涯中,投身中国荒漠化防治事业,助力中国扭转土地退化趋势、减少沙化土地面积,在实施世界上最大的造林项目、建立荒漠生态研究网络和伙伴关系等方面发挥了关键作用。获得“地球卫士奖”中的“科学与创新奖”。这启示我们</w:t>
      </w:r>
      <w:r>
        <w:rPr>
          <w:rFonts w:hint="eastAsia"/>
          <w:lang w:eastAsia="zh-CN"/>
        </w:rPr>
        <w:t>（</w:t>
      </w:r>
      <w:r>
        <w:rPr>
          <w:rFonts w:hint="eastAsia"/>
          <w:lang w:val="en-US" w:eastAsia="zh-CN"/>
        </w:rPr>
        <w:t xml:space="preserve">     </w:t>
      </w:r>
      <w:r>
        <w:rPr>
          <w:rFonts w:hint="eastAsia"/>
          <w:lang w:eastAsia="zh-CN"/>
        </w:rPr>
        <w:t>）</w:t>
      </w:r>
    </w:p>
    <w:p w14:paraId="499440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①实现人生价值要坚定正确的理想信念</w:t>
      </w:r>
      <w:r>
        <w:rPr>
          <w:rFonts w:hint="eastAsia"/>
          <w:lang w:val="en-US" w:eastAsia="zh-CN"/>
        </w:rPr>
        <w:t xml:space="preserve">                   </w:t>
      </w:r>
      <w:r>
        <w:rPr>
          <w:rFonts w:hint="eastAsia"/>
        </w:rPr>
        <w:t>②实现人生价值取决于社会提供的客观条件</w:t>
      </w:r>
    </w:p>
    <w:p w14:paraId="3BCF4B7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③顽强拼搏精神是实现人生价值的前提</w:t>
      </w:r>
      <w:r>
        <w:rPr>
          <w:rFonts w:hint="eastAsia"/>
          <w:lang w:val="en-US" w:eastAsia="zh-CN"/>
        </w:rPr>
        <w:t xml:space="preserve">                   </w:t>
      </w:r>
      <w:r>
        <w:rPr>
          <w:rFonts w:hint="eastAsia"/>
        </w:rPr>
        <w:t>④投身社会实践是实现人生价值的必由之路</w:t>
      </w:r>
    </w:p>
    <w:p w14:paraId="16EB44B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A.①③</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D.②④</w:t>
      </w:r>
      <w:r>
        <w:rPr>
          <w:rFonts w:hint="eastAsia"/>
        </w:rPr>
        <w:tab/>
      </w:r>
    </w:p>
    <w:p w14:paraId="404580B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10.在中国人民抗日战争的壮阔进程中,形成了伟大的抗战精神,向世界展示了天下兴亡、匹夫有责的爱国情怀;视死如归、宁死不屈的民族气节;不畏强暴、血战到底的英雄气概;百折不挠、坚忍不拔的必胜信念。今天,之所以弘扬抗战精神,是因为抗战精神</w:t>
      </w:r>
      <w:r>
        <w:rPr>
          <w:rFonts w:hint="eastAsia"/>
          <w:lang w:eastAsia="zh-CN"/>
        </w:rPr>
        <w:t>（</w:t>
      </w:r>
      <w:r>
        <w:rPr>
          <w:rFonts w:hint="eastAsia"/>
          <w:lang w:val="en-US" w:eastAsia="zh-CN"/>
        </w:rPr>
        <w:t xml:space="preserve">     </w:t>
      </w:r>
      <w:r>
        <w:rPr>
          <w:rFonts w:hint="eastAsia"/>
          <w:lang w:eastAsia="zh-CN"/>
        </w:rPr>
        <w:t>）</w:t>
      </w:r>
    </w:p>
    <w:p w14:paraId="5634D2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①在中国共产党人革命精神谱系中具有独特地位</w:t>
      </w:r>
    </w:p>
    <w:p w14:paraId="6A403A0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②是形成中华民族伟大民族精神的重要思想基础</w:t>
      </w:r>
    </w:p>
    <w:p w14:paraId="457233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③是教育和团结广大人民团结奋斗的重要思想资源</w:t>
      </w:r>
    </w:p>
    <w:p w14:paraId="143E1A0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④为中华民族复兴提供精神支持和强大的精神动力</w:t>
      </w:r>
    </w:p>
    <w:p w14:paraId="2385911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r>
        <w:rPr>
          <w:rFonts w:hint="eastAsia"/>
        </w:rPr>
        <w:tab/>
      </w:r>
    </w:p>
    <w:p w14:paraId="14FDCEF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drawing>
          <wp:inline distT="0" distB="0" distL="114300" distR="114300">
            <wp:extent cx="1953895" cy="1671320"/>
            <wp:effectExtent l="0" t="0" r="0" b="1905"/>
            <wp:docPr id="1" name="图片 1" descr="1741157760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1157760289"/>
                    <pic:cNvPicPr>
                      <a:picLocks noChangeAspect="1"/>
                    </pic:cNvPicPr>
                  </pic:nvPicPr>
                  <pic:blipFill>
                    <a:blip r:embed="rId9"/>
                    <a:stretch>
                      <a:fillRect/>
                    </a:stretch>
                  </pic:blipFill>
                  <pic:spPr>
                    <a:xfrm>
                      <a:off x="0" y="0"/>
                      <a:ext cx="1953895" cy="1671320"/>
                    </a:xfrm>
                    <a:prstGeom prst="rect">
                      <a:avLst/>
                    </a:prstGeom>
                  </pic:spPr>
                </pic:pic>
              </a:graphicData>
            </a:graphic>
          </wp:inline>
        </w:drawing>
      </w:r>
    </w:p>
    <w:p w14:paraId="0DE90BB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r>
        <w:rPr>
          <w:rFonts w:hint="eastAsia"/>
        </w:rPr>
        <w:t>11.2024年10月,美国批准总额19.88亿美元的对台军售,包括“国家先进地空导弹系统”和雷达系统，中方对此强烈谴责、坚决反对,已向美方提出严正交涉。中方敦促美方立即停止武装台湾,立即停止破坏台海和平稳定的危险行径。这是基于</w:t>
      </w:r>
      <w:r>
        <w:rPr>
          <w:rFonts w:hint="eastAsia"/>
          <w:lang w:eastAsia="zh-CN"/>
        </w:rPr>
        <w:t>（</w:t>
      </w:r>
      <w:r>
        <w:rPr>
          <w:rFonts w:hint="eastAsia"/>
          <w:lang w:val="en-US" w:eastAsia="zh-CN"/>
        </w:rPr>
        <w:t xml:space="preserve">     </w:t>
      </w:r>
      <w:r>
        <w:rPr>
          <w:rFonts w:hint="eastAsia"/>
          <w:lang w:eastAsia="zh-CN"/>
        </w:rPr>
        <w:t>）</w:t>
      </w:r>
    </w:p>
    <w:p w14:paraId="1506C5E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①国家主权是一个国家的生命和灵魂,具有排他性</w:t>
      </w:r>
    </w:p>
    <w:p w14:paraId="70B89C8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②主权国家如果丧失了主权,其领土就一定不完整</w:t>
      </w:r>
    </w:p>
    <w:p w14:paraId="1A5271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③国家主权是至高无上的,主权国家间要相互尊重</w:t>
      </w:r>
    </w:p>
    <w:p w14:paraId="6DBDE83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④国家安全是民族复兴的根基,是国家的最高利益</w:t>
      </w:r>
    </w:p>
    <w:p w14:paraId="104E165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 xml:space="preserve">A.①② </w:t>
      </w:r>
      <w:r>
        <w:rPr>
          <w:rFonts w:hint="eastAsia"/>
          <w:lang w:val="en-US" w:eastAsia="zh-CN"/>
        </w:rPr>
        <w:t xml:space="preserve">          </w:t>
      </w:r>
      <w:r>
        <w:rPr>
          <w:rFonts w:hint="eastAsia"/>
        </w:rPr>
        <w:t xml:space="preserve">B.①④ </w:t>
      </w:r>
      <w:r>
        <w:rPr>
          <w:rFonts w:hint="eastAsia"/>
          <w:lang w:val="en-US" w:eastAsia="zh-CN"/>
        </w:rPr>
        <w:t xml:space="preserve">         </w:t>
      </w:r>
      <w:r>
        <w:rPr>
          <w:rFonts w:hint="eastAsia"/>
        </w:rPr>
        <w:t xml:space="preserve">C.②③ </w:t>
      </w:r>
      <w:r>
        <w:rPr>
          <w:rFonts w:hint="eastAsia"/>
          <w:lang w:val="en-US" w:eastAsia="zh-CN"/>
        </w:rPr>
        <w:t xml:space="preserve">         </w:t>
      </w:r>
      <w:r>
        <w:rPr>
          <w:rFonts w:hint="eastAsia"/>
        </w:rPr>
        <w:t>D.③④</w:t>
      </w:r>
    </w:p>
    <w:p w14:paraId="59C93CD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12.2024年中国新能源汽车产量首超1000万辆,前10个月,新能源汽车出口超过百万辆,达到105.8万辆,同比增长6.3%。欧盟却宣布对自中国进口的电动汽车加征关税,决定一经公布,便遭到欧洲多方反对。德国汽车工业协会主席强调,欧洲的繁荣得益于全球贸易,而欧盟当下的举动与全球化趋势背道而驰,意味着全球合作再次出现倒退。该观点认识到</w:t>
      </w:r>
      <w:r>
        <w:rPr>
          <w:rFonts w:hint="eastAsia"/>
          <w:lang w:eastAsia="zh-CN"/>
        </w:rPr>
        <w:t>（</w:t>
      </w:r>
      <w:r>
        <w:rPr>
          <w:rFonts w:hint="eastAsia"/>
          <w:lang w:val="en-US" w:eastAsia="zh-CN"/>
        </w:rPr>
        <w:t xml:space="preserve">     </w:t>
      </w:r>
      <w:r>
        <w:rPr>
          <w:rFonts w:hint="eastAsia"/>
          <w:lang w:eastAsia="zh-CN"/>
        </w:rPr>
        <w:t>）</w:t>
      </w:r>
    </w:p>
    <w:p w14:paraId="4B21128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①贸易全球化有利于发挥各国经济比较优势</w:t>
      </w:r>
    </w:p>
    <w:p w14:paraId="27BC27C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②经济全球化推动了区域一体化的形成发展</w:t>
      </w:r>
    </w:p>
    <w:p w14:paraId="29C2FEEF">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③经济全球化在本质上是资源配置的国际化</w:t>
      </w:r>
    </w:p>
    <w:p w14:paraId="74BC6AC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④世界各国经济深度相互依赖、全面相互融合</w:t>
      </w:r>
    </w:p>
    <w:p w14:paraId="31C68FA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D.③④</w:t>
      </w:r>
      <w:r>
        <w:rPr>
          <w:rFonts w:hint="eastAsia"/>
        </w:rPr>
        <w:tab/>
      </w:r>
    </w:p>
    <w:p w14:paraId="491429B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13.某化工厂向附近河流排放工业废水,造成村民喝水后身体不适甚至患病。之后,村民向法院提起诉讼,主张村民喝水后身体不适甚至患病系化工厂排放工业废水所致,请求赔偿。对于本案,分析正确的是</w:t>
      </w:r>
      <w:r>
        <w:rPr>
          <w:rFonts w:hint="eastAsia"/>
          <w:lang w:eastAsia="zh-CN"/>
        </w:rPr>
        <w:t>（</w:t>
      </w:r>
      <w:r>
        <w:rPr>
          <w:rFonts w:hint="eastAsia"/>
          <w:lang w:val="en-US" w:eastAsia="zh-CN"/>
        </w:rPr>
        <w:t xml:space="preserve">     </w:t>
      </w:r>
      <w:r>
        <w:rPr>
          <w:rFonts w:hint="eastAsia"/>
          <w:lang w:eastAsia="zh-CN"/>
        </w:rPr>
        <w:t>）</w:t>
      </w:r>
    </w:p>
    <w:p w14:paraId="007104F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 xml:space="preserve">A.本案中村民需举证化工厂的损害行为与损害结果之间的因果关系 </w:t>
      </w:r>
    </w:p>
    <w:p w14:paraId="15DBFE9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 xml:space="preserve">B.本案符合举证责任倒置情形,村民无需提交合法权益受损的证据 </w:t>
      </w:r>
    </w:p>
    <w:p w14:paraId="3851E78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 xml:space="preserve">C.化工厂如能证明自己对损害的发生没有过错,则无需承担赔偿责任 </w:t>
      </w:r>
    </w:p>
    <w:p w14:paraId="1AE333D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D.化工厂如能证明水质合格,村民患病另有他因,则无需承担赔偿责任</w:t>
      </w:r>
    </w:p>
    <w:p w14:paraId="748FBF0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14.未经著作权人或演员许可,多部国产电视剧遭遇A“魔改”,相关视频在网络上广泛传播。如《红楼梦》变成了“武打戏”,柔弱的林黛玉变成了林教头,还玩起了“林黛玉倒拔垂杨柳”;甚至四大名著中的人物玩起了“客串”,“三国”关羽杀进了“水浒”,“西游”林黛玉大战孙悟空。AI“魔改”经典名剧的行为侵犯了著作权人的</w:t>
      </w:r>
      <w:r>
        <w:rPr>
          <w:rFonts w:hint="eastAsia"/>
          <w:lang w:eastAsia="zh-CN"/>
        </w:rPr>
        <w:t>（</w:t>
      </w:r>
      <w:r>
        <w:rPr>
          <w:rFonts w:hint="eastAsia"/>
          <w:lang w:val="en-US" w:eastAsia="zh-CN"/>
        </w:rPr>
        <w:t xml:space="preserve">     </w:t>
      </w:r>
      <w:r>
        <w:rPr>
          <w:rFonts w:hint="eastAsia"/>
          <w:lang w:eastAsia="zh-CN"/>
        </w:rPr>
        <w:t>）</w:t>
      </w:r>
    </w:p>
    <w:p w14:paraId="1D1D125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①保护作品完整权</w:t>
      </w:r>
      <w:r>
        <w:rPr>
          <w:rFonts w:hint="eastAsia"/>
        </w:rPr>
        <w:tab/>
      </w:r>
      <w:r>
        <w:rPr>
          <w:rFonts w:hint="eastAsia"/>
          <w:lang w:val="en-US" w:eastAsia="zh-CN"/>
        </w:rPr>
        <w:t xml:space="preserve">        </w:t>
      </w:r>
      <w:r>
        <w:rPr>
          <w:rFonts w:hint="eastAsia"/>
        </w:rPr>
        <w:t>②发表权</w:t>
      </w:r>
      <w:r>
        <w:rPr>
          <w:rFonts w:hint="eastAsia"/>
        </w:rPr>
        <w:tab/>
      </w:r>
      <w:r>
        <w:rPr>
          <w:rFonts w:hint="eastAsia"/>
          <w:lang w:val="en-US" w:eastAsia="zh-CN"/>
        </w:rPr>
        <w:t xml:space="preserve">       </w:t>
      </w:r>
      <w:r>
        <w:rPr>
          <w:rFonts w:hint="eastAsia"/>
        </w:rPr>
        <w:t>③修改权</w:t>
      </w:r>
      <w:r>
        <w:rPr>
          <w:rFonts w:hint="eastAsia"/>
          <w:lang w:val="en-US" w:eastAsia="zh-CN"/>
        </w:rPr>
        <w:t xml:space="preserve"> </w:t>
      </w:r>
      <w:r>
        <w:rPr>
          <w:rFonts w:hint="eastAsia"/>
        </w:rPr>
        <w:tab/>
      </w:r>
      <w:r>
        <w:rPr>
          <w:rFonts w:hint="eastAsia"/>
          <w:lang w:val="en-US" w:eastAsia="zh-CN"/>
        </w:rPr>
        <w:t xml:space="preserve">    </w:t>
      </w:r>
      <w:r>
        <w:rPr>
          <w:rFonts w:hint="eastAsia"/>
        </w:rPr>
        <w:t>④改编权</w:t>
      </w:r>
      <w:r>
        <w:rPr>
          <w:rFonts w:hint="eastAsia"/>
        </w:rPr>
        <w:tab/>
      </w:r>
    </w:p>
    <w:p w14:paraId="5868D2C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r>
        <w:rPr>
          <w:rFonts w:hint="eastAsia"/>
        </w:rPr>
        <w:tab/>
      </w:r>
    </w:p>
    <w:p w14:paraId="289416A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15.我国经济、社会、人口形势在发展变化,劳动者需求日趋多元,建立与其相适应的退休年龄制度,是一项事关发展大局的重要改革。2024年9月13日,全国人大常委会会议表决通过了关于实施渐进式延迟法定退休年龄的决定。这说明</w:t>
      </w:r>
      <w:r>
        <w:rPr>
          <w:rFonts w:hint="eastAsia"/>
          <w:lang w:eastAsia="zh-CN"/>
        </w:rPr>
        <w:t>（</w:t>
      </w:r>
      <w:r>
        <w:rPr>
          <w:rFonts w:hint="eastAsia"/>
          <w:lang w:val="en-US" w:eastAsia="zh-CN"/>
        </w:rPr>
        <w:t xml:space="preserve">     </w:t>
      </w:r>
      <w:r>
        <w:rPr>
          <w:rFonts w:hint="eastAsia"/>
          <w:lang w:eastAsia="zh-CN"/>
        </w:rPr>
        <w:t>）</w:t>
      </w:r>
    </w:p>
    <w:p w14:paraId="6FEFBDC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①应坚持运用综合思维方法认识事物</w:t>
      </w:r>
      <w:r>
        <w:rPr>
          <w:rFonts w:hint="eastAsia"/>
        </w:rPr>
        <w:tab/>
      </w:r>
      <w:r>
        <w:rPr>
          <w:rFonts w:hint="eastAsia"/>
          <w:lang w:val="en-US" w:eastAsia="zh-CN"/>
        </w:rPr>
        <w:t xml:space="preserve">                 </w:t>
      </w:r>
      <w:r>
        <w:rPr>
          <w:rFonts w:hint="eastAsia"/>
        </w:rPr>
        <w:t>②要以感性形象作为思维的基本单元</w:t>
      </w:r>
      <w:r>
        <w:rPr>
          <w:rFonts w:hint="eastAsia"/>
        </w:rPr>
        <w:tab/>
      </w:r>
    </w:p>
    <w:p w14:paraId="3E03C78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③应坚持用动态性的辩证思维看问题</w:t>
      </w:r>
      <w:r>
        <w:rPr>
          <w:rFonts w:hint="eastAsia"/>
        </w:rPr>
        <w:tab/>
      </w:r>
      <w:r>
        <w:rPr>
          <w:rFonts w:hint="eastAsia"/>
          <w:lang w:val="en-US" w:eastAsia="zh-CN"/>
        </w:rPr>
        <w:t xml:space="preserve">                 </w:t>
      </w:r>
      <w:r>
        <w:rPr>
          <w:rFonts w:hint="eastAsia"/>
        </w:rPr>
        <w:t>④要善于运用头脑风暴法,集思广益</w:t>
      </w:r>
      <w:r>
        <w:rPr>
          <w:rFonts w:hint="eastAsia"/>
        </w:rPr>
        <w:tab/>
      </w:r>
    </w:p>
    <w:p w14:paraId="03A2948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A.①③</w:t>
      </w:r>
      <w:r>
        <w:rPr>
          <w:rFonts w:hint="eastAsia"/>
        </w:rPr>
        <w:tab/>
      </w:r>
      <w:r>
        <w:rPr>
          <w:rFonts w:hint="eastAsia"/>
          <w:lang w:val="en-US" w:eastAsia="zh-CN"/>
        </w:rPr>
        <w:t xml:space="preserve">          </w:t>
      </w:r>
      <w:r>
        <w:rPr>
          <w:rFonts w:hint="eastAsia"/>
        </w:rPr>
        <w:t>B.①④</w:t>
      </w:r>
      <w:r>
        <w:rPr>
          <w:rFonts w:hint="eastAsia"/>
        </w:rPr>
        <w:tab/>
      </w:r>
      <w:r>
        <w:rPr>
          <w:rFonts w:hint="eastAsia"/>
          <w:lang w:val="en-US" w:eastAsia="zh-CN"/>
        </w:rPr>
        <w:t xml:space="preserve">           </w:t>
      </w:r>
      <w:r>
        <w:rPr>
          <w:rFonts w:hint="eastAsia"/>
        </w:rPr>
        <w:t>C.②③</w:t>
      </w:r>
      <w:r>
        <w:rPr>
          <w:rFonts w:hint="eastAsia"/>
        </w:rPr>
        <w:tab/>
      </w:r>
      <w:r>
        <w:rPr>
          <w:rFonts w:hint="eastAsia"/>
          <w:lang w:val="en-US" w:eastAsia="zh-CN"/>
        </w:rPr>
        <w:t xml:space="preserve">      </w:t>
      </w:r>
      <w:r>
        <w:rPr>
          <w:rFonts w:hint="eastAsia"/>
        </w:rPr>
        <w:t>D.②④</w:t>
      </w:r>
      <w:r>
        <w:rPr>
          <w:rFonts w:hint="eastAsia"/>
        </w:rPr>
        <w:tab/>
      </w:r>
    </w:p>
    <w:p w14:paraId="336078E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16.嫦娥六号探测器成功降落在月球背面的南极一艾特肯盆地,通过对带回的月壤样本进行分析,月球背面的土有结块的状态,预示着月球上或许真的存在水资源,因为土结块的前提条件是有水成分。嫦娥七号准备在月球南极着陆,主要任务是开展飞跃探测,争取找到水。科学家设想,如果月球有水,人类将来可能移居月球。材料体现出</w:t>
      </w:r>
      <w:r>
        <w:rPr>
          <w:rFonts w:hint="eastAsia"/>
          <w:lang w:eastAsia="zh-CN"/>
        </w:rPr>
        <w:t>（</w:t>
      </w:r>
      <w:r>
        <w:rPr>
          <w:rFonts w:hint="eastAsia"/>
          <w:lang w:val="en-US" w:eastAsia="zh-CN"/>
        </w:rPr>
        <w:t xml:space="preserve">     </w:t>
      </w:r>
      <w:r>
        <w:rPr>
          <w:rFonts w:hint="eastAsia"/>
          <w:lang w:eastAsia="zh-CN"/>
        </w:rPr>
        <w:t>）</w:t>
      </w:r>
    </w:p>
    <w:p w14:paraId="7DF5438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①通过感知形成的表象直接反映现实对象</w:t>
      </w:r>
    </w:p>
    <w:p w14:paraId="2B56EE74">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②迁移能为创新思维搭建由此及彼的桥梁</w:t>
      </w:r>
    </w:p>
    <w:p w14:paraId="778E422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③通过形象思维,来揭示月球的真实面貌</w:t>
      </w:r>
    </w:p>
    <w:p w14:paraId="6EBB36B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④社会实践的需要是创新思维的根本动力</w:t>
      </w:r>
    </w:p>
    <w:p w14:paraId="5717B22A">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rPr>
      </w:pPr>
      <w:r>
        <w:rPr>
          <w:rFonts w:hint="eastAsia"/>
        </w:rPr>
        <w:t>A.①②</w:t>
      </w:r>
      <w:r>
        <w:rPr>
          <w:rFonts w:hint="eastAsia"/>
        </w:rPr>
        <w:tab/>
      </w:r>
      <w:r>
        <w:rPr>
          <w:rFonts w:hint="eastAsia"/>
          <w:lang w:val="en-US" w:eastAsia="zh-CN"/>
        </w:rPr>
        <w:t xml:space="preserve">          </w:t>
      </w:r>
      <w:r>
        <w:rPr>
          <w:rFonts w:hint="eastAsia"/>
        </w:rPr>
        <w:t>B.①③</w:t>
      </w:r>
      <w:r>
        <w:rPr>
          <w:rFonts w:hint="eastAsia"/>
        </w:rPr>
        <w:tab/>
      </w:r>
      <w:r>
        <w:rPr>
          <w:rFonts w:hint="eastAsia"/>
          <w:lang w:val="en-US" w:eastAsia="zh-CN"/>
        </w:rPr>
        <w:t xml:space="preserve">           </w:t>
      </w:r>
      <w:r>
        <w:rPr>
          <w:rFonts w:hint="eastAsia"/>
        </w:rPr>
        <w:t>C.②④</w:t>
      </w:r>
      <w:r>
        <w:rPr>
          <w:rFonts w:hint="eastAsia"/>
        </w:rPr>
        <w:tab/>
      </w:r>
      <w:r>
        <w:rPr>
          <w:rFonts w:hint="eastAsia"/>
          <w:lang w:val="en-US" w:eastAsia="zh-CN"/>
        </w:rPr>
        <w:t xml:space="preserve">      </w:t>
      </w:r>
      <w:r>
        <w:rPr>
          <w:rFonts w:hint="eastAsia"/>
        </w:rPr>
        <w:t>D.③④</w:t>
      </w:r>
      <w:r>
        <w:rPr>
          <w:rFonts w:hint="eastAsia"/>
        </w:rPr>
        <w:tab/>
      </w:r>
    </w:p>
    <w:p w14:paraId="1178EA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rPr>
      </w:pPr>
      <w:r>
        <w:rPr>
          <w:rFonts w:hint="eastAsia"/>
          <w:b/>
          <w:bCs/>
        </w:rPr>
        <w:t>二、非选择题:本题共4小题,共52分。</w:t>
      </w:r>
    </w:p>
    <w:p w14:paraId="74FF382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rPr>
      </w:pPr>
      <w:r>
        <w:rPr>
          <w:rFonts w:hint="eastAsia"/>
          <w:b/>
          <w:bCs/>
        </w:rPr>
        <w:t>17.阅读材料,完成下列要求。(16分)</w:t>
      </w:r>
    </w:p>
    <w:p w14:paraId="78415ED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材料一</w:t>
      </w:r>
      <w:r>
        <w:rPr>
          <w:rFonts w:hint="eastAsia" w:ascii="楷体" w:hAnsi="楷体" w:eastAsia="楷体" w:cs="楷体"/>
          <w:lang w:val="en-US" w:eastAsia="zh-CN"/>
        </w:rPr>
        <w:t xml:space="preserve">  </w:t>
      </w:r>
      <w:r>
        <w:rPr>
          <w:rFonts w:hint="eastAsia" w:ascii="楷体" w:hAnsi="楷体" w:eastAsia="楷体" w:cs="楷体"/>
        </w:rPr>
        <w:t xml:space="preserve"> 作为引领新一轮科技革命和产业变革的战略性技术,人工智能被视为中国发展新质生产力的重要引擎。</w:t>
      </w:r>
    </w:p>
    <w:p w14:paraId="3FE7A54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在聚力打造科技创新策源地和新兴产业集聚地的安徽省，通过构建“大模型+大算力+大数据+大场景”的产业发展格局,正加速描绘人工智能赋能高质量发展的新图景。全省智能算力超过1.4万P,国产算力平台“飞星一号”“飞星二号”接续启动,星火大模型 V4.0 Turbo综合性能处于全国前列,在全国率先启动全域应用场景一体化大市场建设,释放高质量场景机会近300项、应用模型超过70个,产业生态不断提升,人工智能母子基金投资项目超过27 亿元,汇聚48位全国领军人才,其中9位已经落户安徽。</w:t>
      </w:r>
    </w:p>
    <w:p w14:paraId="431A6E3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(1)结合材料一</w:t>
      </w:r>
      <w:r>
        <w:rPr>
          <w:rFonts w:hint="eastAsia"/>
          <w:lang w:eastAsia="zh-CN"/>
        </w:rPr>
        <w:t>，</w:t>
      </w:r>
      <w:r>
        <w:rPr>
          <w:rFonts w:hint="eastAsia"/>
        </w:rPr>
        <w:t>运用《经济与社会》的知识</w:t>
      </w:r>
      <w:r>
        <w:rPr>
          <w:rFonts w:hint="eastAsia"/>
          <w:lang w:eastAsia="zh-CN"/>
        </w:rPr>
        <w:t>，</w:t>
      </w:r>
      <w:r>
        <w:rPr>
          <w:rFonts w:hint="eastAsia"/>
        </w:rPr>
        <w:t>说明安徽省是如何通过人工智能赋能新质生产力发展的。(8分)</w:t>
      </w:r>
    </w:p>
    <w:p w14:paraId="60B9331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08F9F9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430741A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54854A9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158C01B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41533A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1F929D4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3C8B229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4FBE59C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p>
    <w:p w14:paraId="11F50A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 xml:space="preserve">材料二 </w:t>
      </w:r>
      <w:r>
        <w:rPr>
          <w:rFonts w:hint="eastAsia" w:ascii="楷体" w:hAnsi="楷体" w:eastAsia="楷体" w:cs="楷体"/>
          <w:lang w:val="en-US" w:eastAsia="zh-CN"/>
        </w:rPr>
        <w:t xml:space="preserve">  </w:t>
      </w:r>
      <w:r>
        <w:rPr>
          <w:rFonts w:hint="eastAsia" w:ascii="楷体" w:hAnsi="楷体" w:eastAsia="楷体" w:cs="楷体"/>
        </w:rPr>
        <w:t>2024 世界人工智能大会暨人工智能全球治理高级别会议在上海举行。大会主题为“以共商促共享,以善治促善智”。开幕式上,上海向全球发布了《人工智能全球治理上海宣言》(以下简称《上海宣言》)。《上海宣言》提出要促进人工智能发展,维护人工智能安全,构建人工智能治理体系,加强社会参与和提升公众素养,提升生活品质与社会福祉。大会呼吁各方积极响应,携手行动,共同推动人工智能造福全人类。</w:t>
      </w:r>
    </w:p>
    <w:p w14:paraId="728B2F6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(2)结合材料二</w:t>
      </w:r>
      <w:r>
        <w:rPr>
          <w:rFonts w:hint="eastAsia"/>
          <w:lang w:eastAsia="zh-CN"/>
        </w:rPr>
        <w:t>，</w:t>
      </w:r>
      <w:r>
        <w:rPr>
          <w:rFonts w:hint="eastAsia"/>
        </w:rPr>
        <w:t>运用《当代国际政治与经济》的知识,分析《上海宣言》发布对促进人类共同发展的意义。(8分)</w:t>
      </w:r>
    </w:p>
    <w:p w14:paraId="11043B0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3E832A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53D015C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4516CC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2F9DD3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5187AFC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727E4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9E4E63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349971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49CAE10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44F5487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18.阅读材料,完成下列要求。(10分)</w:t>
      </w:r>
    </w:p>
    <w:p w14:paraId="29049F1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rPr>
      </w:pPr>
      <w:r>
        <w:rPr>
          <w:rFonts w:hint="eastAsia" w:ascii="楷体" w:hAnsi="楷体" w:eastAsia="楷体" w:cs="楷体"/>
        </w:rPr>
        <w:t>党的十八大以来,以习近平同志为核心的党中央以“得罪千百人、不负十四亿”的使命担当,带领全党深入推进全面从严治党和反腐败斗争。总书记的系列重要讲话,为我们一刻不停推进全面从严治党、坚决打赢反腐败斗争攻坚战持久战提供了根本遵循。</w:t>
      </w:r>
      <w:r>
        <w:rPr>
          <w:rFonts w:hint="eastAsia" w:ascii="楷体" w:hAnsi="楷体" w:eastAsia="楷体" w:cs="楷体"/>
        </w:rPr>
        <w:tab/>
      </w:r>
      <w:r>
        <w:rPr>
          <w:rFonts w:hint="eastAsia" w:ascii="楷体" w:hAnsi="楷体" w:eastAsia="楷体" w:cs="楷体"/>
        </w:rPr>
        <w:tab/>
      </w:r>
    </w:p>
    <w:tbl>
      <w:tblPr>
        <w:tblStyle w:val="5"/>
        <w:tblW w:w="10193" w:type="dxa"/>
        <w:tblInd w:w="10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634"/>
        <w:gridCol w:w="7559"/>
      </w:tblGrid>
      <w:tr w14:paraId="3C3F4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4" w:hRule="atLeast"/>
        </w:trPr>
        <w:tc>
          <w:tcPr>
            <w:tcW w:w="263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E2D247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center"/>
              <w:textAlignment w:val="auto"/>
              <w:rPr>
                <w:rFonts w:hint="eastAsia" w:ascii="楷体" w:hAnsi="楷体" w:eastAsia="楷体" w:cs="楷体"/>
                <w:b/>
                <w:bCs/>
                <w:kern w:val="2"/>
                <w:sz w:val="21"/>
                <w:szCs w:val="21"/>
                <w:lang w:val="en-US" w:eastAsia="zh-CN" w:bidi="ar-SA"/>
              </w:rPr>
            </w:pPr>
            <w:r>
              <w:rPr>
                <w:rFonts w:hint="eastAsia" w:ascii="楷体" w:hAnsi="楷体" w:eastAsia="楷体" w:cs="楷体"/>
                <w:b/>
                <w:bCs/>
                <w:kern w:val="2"/>
                <w:sz w:val="21"/>
                <w:szCs w:val="21"/>
                <w:lang w:val="en-US" w:eastAsia="zh-CN" w:bidi="ar-SA"/>
              </w:rPr>
              <w:t>会议时间</w:t>
            </w:r>
          </w:p>
        </w:tc>
        <w:tc>
          <w:tcPr>
            <w:tcW w:w="7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8F760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center"/>
              <w:textAlignment w:val="auto"/>
              <w:rPr>
                <w:rFonts w:hint="eastAsia" w:ascii="楷体" w:hAnsi="楷体" w:eastAsia="楷体" w:cs="楷体"/>
                <w:b/>
                <w:bCs/>
                <w:kern w:val="2"/>
                <w:sz w:val="21"/>
                <w:szCs w:val="21"/>
                <w:lang w:val="en-US" w:eastAsia="zh-CN" w:bidi="ar-SA"/>
              </w:rPr>
            </w:pPr>
            <w:r>
              <w:rPr>
                <w:rFonts w:hint="eastAsia" w:ascii="楷体" w:hAnsi="楷体" w:eastAsia="楷体" w:cs="楷体"/>
                <w:sz w:val="21"/>
                <w:szCs w:val="21"/>
              </w:rPr>
              <w:t>讲话</w:t>
            </w:r>
            <w:r>
              <w:rPr>
                <w:rFonts w:hint="eastAsia" w:ascii="楷体" w:hAnsi="楷体" w:eastAsia="楷体" w:cs="楷体"/>
                <w:sz w:val="21"/>
                <w:szCs w:val="21"/>
                <w:lang w:val="en-US" w:eastAsia="zh-CN"/>
              </w:rPr>
              <w:t>主要内容</w:t>
            </w:r>
          </w:p>
        </w:tc>
      </w:tr>
      <w:tr w14:paraId="08326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9" w:hRule="atLeast"/>
        </w:trPr>
        <w:tc>
          <w:tcPr>
            <w:tcW w:w="263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5C28F8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楷体" w:hAnsi="楷体" w:eastAsia="楷体" w:cs="楷体"/>
                <w:sz w:val="21"/>
                <w:szCs w:val="21"/>
              </w:rPr>
            </w:pPr>
            <w:r>
              <w:rPr>
                <w:rFonts w:hint="eastAsia" w:ascii="楷体" w:hAnsi="楷体" w:eastAsia="楷体" w:cs="楷体"/>
                <w:sz w:val="21"/>
                <w:szCs w:val="21"/>
              </w:rPr>
              <w:t>2022年1月18日,习近平在十九届中央纪委六次全会上的讲话</w:t>
            </w:r>
          </w:p>
        </w:tc>
        <w:tc>
          <w:tcPr>
            <w:tcW w:w="7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4E4D4C3">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楷体" w:hAnsi="楷体" w:eastAsia="楷体" w:cs="楷体"/>
                <w:sz w:val="21"/>
                <w:szCs w:val="21"/>
              </w:rPr>
            </w:pPr>
            <w:r>
              <w:rPr>
                <w:rFonts w:hint="eastAsia" w:ascii="楷体" w:hAnsi="楷体" w:eastAsia="楷体" w:cs="楷体"/>
                <w:sz w:val="21"/>
                <w:szCs w:val="21"/>
              </w:rPr>
              <w:t>坚持以雷霆之势反腐惩恶,打好自我革命攻坚战、持久战。古人说:“国家之败,由官邪也。”腐败是最容易颠覆政权的问题,反腐败是最彻底的自我革命。</w:t>
            </w:r>
          </w:p>
        </w:tc>
      </w:tr>
      <w:tr w14:paraId="082EB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3" w:hRule="atLeast"/>
        </w:trPr>
        <w:tc>
          <w:tcPr>
            <w:tcW w:w="263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D50217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楷体" w:hAnsi="楷体" w:eastAsia="楷体" w:cs="楷体"/>
                <w:sz w:val="21"/>
                <w:szCs w:val="21"/>
              </w:rPr>
            </w:pPr>
            <w:r>
              <w:rPr>
                <w:rFonts w:hint="eastAsia" w:ascii="楷体" w:hAnsi="楷体" w:eastAsia="楷体" w:cs="楷体"/>
                <w:sz w:val="21"/>
                <w:szCs w:val="21"/>
              </w:rPr>
              <w:t>2022年10月16日,习</w:t>
            </w:r>
            <w:r>
              <w:rPr>
                <w:rFonts w:hint="eastAsia" w:ascii="楷体" w:hAnsi="楷体" w:eastAsia="楷体" w:cs="楷体"/>
                <w:sz w:val="21"/>
                <w:szCs w:val="21"/>
                <w:lang w:val="en-US" w:eastAsia="zh-CN"/>
              </w:rPr>
              <w:t>近平在</w:t>
            </w:r>
            <w:r>
              <w:rPr>
                <w:rFonts w:hint="eastAsia" w:ascii="楷体" w:hAnsi="楷体" w:eastAsia="楷体" w:cs="楷体"/>
                <w:sz w:val="21"/>
                <w:szCs w:val="21"/>
              </w:rPr>
              <w:t>中国共产党第二</w:t>
            </w:r>
            <w:r>
              <w:rPr>
                <w:rFonts w:hint="eastAsia" w:ascii="楷体" w:hAnsi="楷体" w:eastAsia="楷体" w:cs="楷体"/>
                <w:sz w:val="21"/>
                <w:szCs w:val="21"/>
                <w:lang w:val="en-US" w:eastAsia="zh-CN"/>
              </w:rPr>
              <w:t>十</w:t>
            </w:r>
            <w:r>
              <w:rPr>
                <w:rFonts w:hint="eastAsia" w:ascii="楷体" w:hAnsi="楷体" w:eastAsia="楷体" w:cs="楷体"/>
                <w:sz w:val="21"/>
                <w:szCs w:val="21"/>
              </w:rPr>
              <w:t>次全国代表大会上的的讲话</w:t>
            </w:r>
          </w:p>
        </w:tc>
        <w:tc>
          <w:tcPr>
            <w:tcW w:w="7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DAFFE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楷体" w:hAnsi="楷体" w:eastAsia="楷体" w:cs="楷体"/>
                <w:sz w:val="21"/>
                <w:szCs w:val="21"/>
              </w:rPr>
            </w:pPr>
            <w:r>
              <w:rPr>
                <w:rFonts w:hint="eastAsia" w:ascii="楷体" w:hAnsi="楷体" w:eastAsia="楷体" w:cs="楷体"/>
                <w:sz w:val="21"/>
                <w:szCs w:val="21"/>
              </w:rPr>
              <w:t>腐败是危害党的生命力和战斗力的最大毒瘤,反腐败是最彻底的自我革命。只要存在腐败问题产生的土壤和条件,反腐败斗争就一刻不能停,必须永远吹冲锋号。坚持不敢腐、不能腐、不想腐一体推进,同时发力、同向发力、综合发力。</w:t>
            </w:r>
          </w:p>
        </w:tc>
      </w:tr>
      <w:tr w14:paraId="64AE4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8" w:hRule="atLeast"/>
        </w:trPr>
        <w:tc>
          <w:tcPr>
            <w:tcW w:w="263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6BB8CD7">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440" w:lineRule="exact"/>
              <w:jc w:val="left"/>
              <w:textAlignment w:val="auto"/>
              <w:rPr>
                <w:rFonts w:hint="eastAsia" w:ascii="楷体" w:hAnsi="楷体" w:eastAsia="楷体" w:cs="楷体"/>
                <w:sz w:val="21"/>
                <w:szCs w:val="21"/>
                <w:lang w:val="en-US" w:eastAsia="zh-CN"/>
              </w:rPr>
            </w:pPr>
            <w:r>
              <w:rPr>
                <w:rFonts w:hint="eastAsia" w:ascii="楷体" w:hAnsi="楷体" w:eastAsia="楷体" w:cs="楷体"/>
                <w:sz w:val="21"/>
                <w:szCs w:val="21"/>
              </w:rPr>
              <w:t>2025年1月6日,习近</w:t>
            </w:r>
            <w:r>
              <w:rPr>
                <w:rFonts w:hint="eastAsia" w:ascii="楷体" w:hAnsi="楷体" w:eastAsia="楷体" w:cs="楷体"/>
                <w:sz w:val="21"/>
                <w:szCs w:val="21"/>
                <w:lang w:val="en-US" w:eastAsia="zh-CN"/>
              </w:rPr>
              <w:t>平</w:t>
            </w:r>
            <w:r>
              <w:rPr>
                <w:rFonts w:hint="eastAsia" w:ascii="楷体" w:hAnsi="楷体" w:eastAsia="楷体" w:cs="楷体"/>
                <w:sz w:val="21"/>
                <w:szCs w:val="21"/>
              </w:rPr>
              <w:t>在二十届中央纪委</w:t>
            </w:r>
            <w:r>
              <w:rPr>
                <w:rFonts w:hint="eastAsia" w:ascii="楷体" w:hAnsi="楷体" w:eastAsia="楷体" w:cs="楷体"/>
                <w:sz w:val="21"/>
                <w:szCs w:val="21"/>
                <w:lang w:val="en-US" w:eastAsia="zh-CN"/>
              </w:rPr>
              <w:t>四次全会上</w:t>
            </w:r>
            <w:r>
              <w:rPr>
                <w:rFonts w:hint="eastAsia" w:ascii="楷体" w:hAnsi="楷体" w:eastAsia="楷体" w:cs="楷体"/>
                <w:sz w:val="21"/>
                <w:szCs w:val="21"/>
              </w:rPr>
              <w:t>的讲话</w:t>
            </w:r>
          </w:p>
        </w:tc>
        <w:tc>
          <w:tcPr>
            <w:tcW w:w="7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9C0EBC4">
            <w:pPr>
              <w:keepNext w:val="0"/>
              <w:keepLines w:val="0"/>
              <w:pageBreakBefore w:val="0"/>
              <w:widowControl w:val="0"/>
              <w:kinsoku/>
              <w:wordWrap/>
              <w:overflowPunct/>
              <w:topLinePunct w:val="0"/>
              <w:autoSpaceDE/>
              <w:autoSpaceDN/>
              <w:bidi w:val="0"/>
              <w:adjustRightInd/>
              <w:snapToGrid/>
              <w:spacing w:beforeAutospacing="0" w:afterAutospacing="0" w:line="440" w:lineRule="exact"/>
              <w:textAlignment w:val="auto"/>
              <w:rPr>
                <w:rFonts w:hint="eastAsia" w:ascii="楷体" w:hAnsi="楷体" w:eastAsia="楷体" w:cs="楷体"/>
                <w:sz w:val="21"/>
                <w:szCs w:val="21"/>
              </w:rPr>
            </w:pPr>
            <w:r>
              <w:rPr>
                <w:rFonts w:hint="eastAsia" w:ascii="楷体" w:hAnsi="楷体" w:eastAsia="楷体" w:cs="楷体"/>
                <w:sz w:val="21"/>
                <w:szCs w:val="21"/>
              </w:rPr>
              <w:t>腐败是我们党面临的最大威胁,反腐败是最彻底的自我革命。进入新时代,面对党内党风廉政建设和反腐败斗争的突出问题,我们坚持有腐必反、有贪必肃，不断纯洁干部队伍,维护了党的形象,巩固了红色江山,赢得了确保党不变质、不变色、不变味的历史主动,赢得了党团结带领全体人民为强国建设、民族复兴伟业共同奋斗的历史主动。</w:t>
            </w:r>
          </w:p>
        </w:tc>
      </w:tr>
    </w:tbl>
    <w:p w14:paraId="1A12514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结合材料</w:t>
      </w:r>
      <w:r>
        <w:rPr>
          <w:rFonts w:hint="eastAsia"/>
          <w:lang w:eastAsia="zh-CN"/>
        </w:rPr>
        <w:t>，</w:t>
      </w:r>
      <w:r>
        <w:rPr>
          <w:rFonts w:hint="eastAsia"/>
        </w:rPr>
        <w:t>运用《政治与法治》的知识</w:t>
      </w:r>
      <w:r>
        <w:rPr>
          <w:rFonts w:hint="eastAsia"/>
          <w:lang w:eastAsia="zh-CN"/>
        </w:rPr>
        <w:t>，</w:t>
      </w:r>
      <w:r>
        <w:rPr>
          <w:rFonts w:hint="eastAsia"/>
        </w:rPr>
        <w:t>分析中国共产党要始终保持反腐败永远在路上的原因。</w:t>
      </w:r>
    </w:p>
    <w:p w14:paraId="14D94A5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597ED28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104582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D91318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D1CBFA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7F4A04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4CA3A9C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56504D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F0BFEF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6872D84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1AEBE4A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E09F7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567541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D8E66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24F4EE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19.阅读材料,完成下列要求。(10分)</w:t>
      </w:r>
    </w:p>
    <w:p w14:paraId="143EE17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rPr>
      </w:pPr>
      <w:r>
        <w:rPr>
          <w:rFonts w:hint="eastAsia"/>
          <w:b/>
          <w:bCs/>
        </w:rPr>
        <w:t>[基本案情]</w:t>
      </w:r>
    </w:p>
    <w:p w14:paraId="62B7388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rPr>
      </w:pPr>
      <w:r>
        <w:rPr>
          <w:rFonts w:hint="eastAsia" w:ascii="楷体" w:hAnsi="楷体" w:eastAsia="楷体" w:cs="楷体"/>
        </w:rPr>
        <w:t>2024年6月1日中午,芽芽(未满12周岁)由其母亲陪同来到游乐中心游玩。芽芽母亲向游乐中心出具购票凭证,并签署了《免责声明书》一份,该声明书载明“出于安全考虑,12周岁及以下的儿童必须由监护人陪同进场及使用设备,12周岁及以下的儿童必须有监护人在蹦床边看护”等内容。</w:t>
      </w:r>
    </w:p>
    <w:p w14:paraId="5E6DE62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rPr>
      </w:pPr>
      <w:r>
        <w:rPr>
          <w:rFonts w:hint="eastAsia" w:ascii="楷体" w:hAnsi="楷体" w:eastAsia="楷体" w:cs="楷体"/>
        </w:rPr>
        <w:t>随后芽芽独自进入游乐中心蹦床区游玩,芽芽母亲到旁边休息区等待,并未陪同芽芽一起进入游玩场内。</w:t>
      </w:r>
    </w:p>
    <w:p w14:paraId="6327218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当日13时40分,芽芽在蹦床上的滚筒游乐区玩耍时,将身体趴在滚筒上,身体被滚筒带动脱离地面进而翻倒落地时受伤。由其母亲送往医院治疗,经检查为左锁骨骨折。因赔偿事宜协商未果,芽芽母亲以芽芽的名义将游乐中心诉至法院。</w:t>
      </w:r>
    </w:p>
    <w:p w14:paraId="5293AA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rPr>
      </w:pPr>
      <w:r>
        <w:rPr>
          <w:rFonts w:hint="eastAsia" w:ascii="楷体" w:hAnsi="楷体" w:eastAsia="楷体" w:cs="楷体"/>
        </w:rPr>
        <w:t>另查明,芽芽当日进入游乐中心的门票由其母亲通过网络平台购买,在商品详情页展示的游乐中心照片中可见多处张贴安全提示内容。游乐中心安排有专职工作人员在场内巡视,对场内游客玩耍的危险行为予以提醒和制止。芽芽在蹦床滚筒区玩耍时,曾有工作人员提醒和制止其危险行为,但在受伤当时,并无工作人员在周边巡视提醒或看护。</w:t>
      </w:r>
    </w:p>
    <w:p w14:paraId="129BF6E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b/>
          <w:bCs/>
        </w:rPr>
      </w:pPr>
      <w:r>
        <w:rPr>
          <w:rFonts w:hint="eastAsia"/>
          <w:b/>
          <w:bCs/>
        </w:rPr>
        <w:t>【法条链接]</w:t>
      </w:r>
    </w:p>
    <w:tbl>
      <w:tblPr>
        <w:tblStyle w:val="5"/>
        <w:tblW w:w="10260" w:type="dxa"/>
        <w:tblInd w:w="10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260"/>
      </w:tblGrid>
      <w:tr w14:paraId="10F45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78" w:hRule="atLeast"/>
        </w:trPr>
        <w:tc>
          <w:tcPr>
            <w:tcW w:w="10260"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F0E08D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《中华人民共和国民法典》</w:t>
            </w:r>
          </w:p>
          <w:p w14:paraId="41682E4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第二十六条</w:t>
            </w:r>
            <w:r>
              <w:rPr>
                <w:rFonts w:hint="eastAsia" w:ascii="楷体" w:hAnsi="楷体" w:eastAsia="楷体" w:cs="楷体"/>
                <w:lang w:eastAsia="zh-CN"/>
              </w:rPr>
              <w:t>：</w:t>
            </w:r>
            <w:r>
              <w:rPr>
                <w:rFonts w:hint="eastAsia" w:ascii="楷体" w:hAnsi="楷体" w:eastAsia="楷体" w:cs="楷体"/>
              </w:rPr>
              <w:t>父母对未成年子女负有抚养、教育和保护的义务。</w:t>
            </w:r>
          </w:p>
          <w:p w14:paraId="123C9F5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第四百九十六条</w:t>
            </w:r>
            <w:r>
              <w:rPr>
                <w:rFonts w:hint="eastAsia" w:ascii="楷体" w:hAnsi="楷体" w:eastAsia="楷体" w:cs="楷体"/>
                <w:lang w:eastAsia="zh-CN"/>
              </w:rPr>
              <w:t>：</w:t>
            </w:r>
            <w:r>
              <w:rPr>
                <w:rFonts w:hint="eastAsia" w:ascii="楷体" w:hAnsi="楷体" w:eastAsia="楷体" w:cs="楷体"/>
              </w:rPr>
              <w:t>格式条款是当事人为了重复使用而预先拟定,并在订立合同时未与对方协商的条款。</w:t>
            </w:r>
          </w:p>
          <w:p w14:paraId="22B7007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第四百九十七条</w:t>
            </w:r>
            <w:r>
              <w:rPr>
                <w:rFonts w:hint="eastAsia" w:ascii="楷体" w:hAnsi="楷体" w:eastAsia="楷体" w:cs="楷体"/>
                <w:lang w:eastAsia="zh-CN"/>
              </w:rPr>
              <w:t>：</w:t>
            </w:r>
            <w:r>
              <w:rPr>
                <w:rFonts w:hint="eastAsia" w:ascii="楷体" w:hAnsi="楷体" w:eastAsia="楷体" w:cs="楷体"/>
              </w:rPr>
              <w:t>有下列情形之一的,该格式条款无效:</w:t>
            </w:r>
          </w:p>
          <w:p w14:paraId="6AF4E2F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(二)提供格式条款一方不合理地免除或者减轻其责任、加重对方责任、限制对方主要权利;</w:t>
            </w:r>
          </w:p>
          <w:p w14:paraId="67D778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cs="楷体"/>
              </w:rPr>
            </w:pPr>
            <w:r>
              <w:rPr>
                <w:rFonts w:hint="eastAsia" w:ascii="楷体" w:hAnsi="楷体" w:eastAsia="楷体" w:cs="楷体"/>
              </w:rPr>
              <w:t>(三)提供格式条款一方排除对方主要权利。</w:t>
            </w:r>
          </w:p>
          <w:p w14:paraId="4D22903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HAnsi" w:hAnsiTheme="minorHAnsi" w:eastAsiaTheme="minorEastAsia" w:cstheme="minorBidi"/>
                <w:b/>
                <w:bCs/>
                <w:kern w:val="2"/>
                <w:sz w:val="21"/>
                <w:szCs w:val="24"/>
                <w:lang w:val="en-US" w:eastAsia="zh-CN" w:bidi="ar-SA"/>
              </w:rPr>
            </w:pPr>
            <w:r>
              <w:rPr>
                <w:rFonts w:hint="eastAsia" w:ascii="楷体" w:hAnsi="楷体" w:eastAsia="楷体" w:cs="楷体"/>
              </w:rPr>
              <w:t>第一千一百九十八条</w:t>
            </w:r>
            <w:r>
              <w:rPr>
                <w:rFonts w:hint="eastAsia" w:ascii="楷体" w:hAnsi="楷体" w:eastAsia="楷体" w:cs="楷体"/>
                <w:lang w:eastAsia="zh-CN"/>
              </w:rPr>
              <w:t>：</w:t>
            </w:r>
            <w:r>
              <w:rPr>
                <w:rFonts w:hint="eastAsia" w:ascii="楷体" w:hAnsi="楷体" w:eastAsia="楷体" w:cs="楷体"/>
              </w:rPr>
              <w:t>宾馆、商场、银行、车站、机场、体育场馆、娱乐场所等经营场所、公共场所的经营者、管理者或者群众性活动的组织者,未尽到安全保障义务,造成他人损害的,应当承担侵权责任。</w:t>
            </w:r>
          </w:p>
        </w:tc>
      </w:tr>
    </w:tbl>
    <w:p w14:paraId="4E9913E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结合材料</w:t>
      </w:r>
      <w:r>
        <w:rPr>
          <w:rFonts w:hint="eastAsia"/>
          <w:lang w:eastAsia="zh-CN"/>
        </w:rPr>
        <w:t>，</w:t>
      </w:r>
      <w:r>
        <w:rPr>
          <w:rFonts w:hint="eastAsia"/>
        </w:rPr>
        <w:t>运用(法律与生活》的知识,指出该案中游乐中心和芽芽母亲是否都要承担责任</w:t>
      </w:r>
      <w:r>
        <w:rPr>
          <w:rFonts w:hint="eastAsia"/>
          <w:lang w:eastAsia="zh-CN"/>
        </w:rPr>
        <w:t>，</w:t>
      </w:r>
      <w:r>
        <w:rPr>
          <w:rFonts w:hint="eastAsia"/>
        </w:rPr>
        <w:t>并说明理由。</w:t>
      </w:r>
    </w:p>
    <w:p w14:paraId="53AE311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5C6C243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2BBA02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64A31E4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7BB7F6A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26F7D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7F96DBA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0703A6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6CF118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DD1706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BBAB2B9">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rPr>
      </w:pPr>
      <w:r>
        <w:rPr>
          <w:rFonts w:hint="eastAsia"/>
        </w:rPr>
        <w:t>阅读材料,完成下列要求。(16分)</w:t>
      </w:r>
    </w:p>
    <w:p w14:paraId="22017E0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rPr>
      </w:pPr>
      <w:r>
        <w:rPr>
          <w:rFonts w:hint="eastAsia" w:ascii="楷体" w:hAnsi="楷体" w:eastAsia="楷体" w:cs="楷体"/>
        </w:rPr>
        <w:t>为大力提振消费、提高投资效益,全方位扩大国内需求。2024年中央经济工作会议将全方位扩大国内需求放在经济工作中的首位,强调,“实施更加积极的宏观政策”“实施适度宽松的货币政策”“打好政策“组合拳’”。由此,财政政策由“积极”转为“更加积极”，货币政策从“稳健”转为“适度宽松”。</w:t>
      </w:r>
    </w:p>
    <w:p w14:paraId="78CAFD5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楷体" w:hAnsi="楷体" w:eastAsia="楷体" w:cs="楷体"/>
        </w:rPr>
      </w:pPr>
      <w:r>
        <w:rPr>
          <w:rFonts w:hint="eastAsia" w:ascii="楷体" w:hAnsi="楷体" w:eastAsia="楷体" w:cs="楷体"/>
        </w:rPr>
        <w:t>通过中央发行超长期特别国债等方式筹集资金来专项支持国家重大战略实施和重点领域安全能力建设的方式来落实;通过设备更新贷款财政贴息政策等,以提振消费和扩大内需的方式来落实。</w:t>
      </w:r>
    </w:p>
    <w:p w14:paraId="6C88B80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(1)结合材料</w:t>
      </w:r>
      <w:r>
        <w:rPr>
          <w:rFonts w:hint="eastAsia"/>
          <w:lang w:eastAsia="zh-CN"/>
        </w:rPr>
        <w:t>，</w:t>
      </w:r>
      <w:r>
        <w:rPr>
          <w:rFonts w:hint="eastAsia"/>
        </w:rPr>
        <w:t>运用“正确发挥主观能动性”知识</w:t>
      </w:r>
      <w:r>
        <w:rPr>
          <w:rFonts w:hint="eastAsia"/>
          <w:lang w:eastAsia="zh-CN"/>
        </w:rPr>
        <w:t>，</w:t>
      </w:r>
      <w:r>
        <w:rPr>
          <w:rFonts w:hint="eastAsia"/>
        </w:rPr>
        <w:t>分析我国宏观经济政策调整的正确性。(8分)</w:t>
      </w:r>
    </w:p>
    <w:p w14:paraId="363B244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BD0BF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37E406B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15CC0AF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D122A7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2825AC2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6916E95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D3B33C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0140639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r>
        <w:rPr>
          <w:rFonts w:hint="eastAsia"/>
        </w:rPr>
        <w:t>(2)结合材料</w:t>
      </w:r>
      <w:r>
        <w:rPr>
          <w:rFonts w:hint="eastAsia"/>
          <w:lang w:eastAsia="zh-CN"/>
        </w:rPr>
        <w:t>，</w:t>
      </w:r>
      <w:r>
        <w:rPr>
          <w:rFonts w:hint="eastAsia"/>
        </w:rPr>
        <w:t>分析说明宏观经济政策的调整所体现的科学思维道理。(8分)</w:t>
      </w:r>
    </w:p>
    <w:p w14:paraId="22CD767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Pr>
      </w:pPr>
    </w:p>
    <w:p w14:paraId="788F7B22">
      <w:pPr>
        <w:keepNext w:val="0"/>
        <w:keepLines w:val="0"/>
        <w:pageBreakBefore w:val="0"/>
        <w:widowControl w:val="0"/>
        <w:kinsoku/>
        <w:wordWrap/>
        <w:overflowPunct/>
        <w:topLinePunct w:val="0"/>
        <w:autoSpaceDE/>
        <w:autoSpaceDN/>
        <w:bidi w:val="0"/>
        <w:adjustRightInd/>
        <w:snapToGrid/>
        <w:spacing w:line="400" w:lineRule="exact"/>
        <w:textAlignment w:val="auto"/>
      </w:pPr>
      <w:bookmarkStart w:id="0" w:name="_GoBack"/>
      <w:bookmarkEnd w:id="0"/>
    </w:p>
    <w:sectPr>
      <w:headerReference r:id="rId3" w:type="default"/>
      <w:footerReference r:id="rId4" w:type="default"/>
      <w:footerReference r:id="rId5" w:type="even"/>
      <w:pgSz w:w="23811" w:h="16838" w:orient="landscape"/>
      <w:pgMar w:top="1800" w:right="1440" w:bottom="1800" w:left="1440" w:header="851" w:footer="992" w:gutter="0"/>
      <w:pgNumType w:fmt="decimal"/>
      <w:cols w:equalWidth="0" w:num="2">
        <w:col w:w="10253" w:space="425"/>
        <w:col w:w="10253"/>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7C612">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ED0ABD">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CED0ABD">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p w14:paraId="5DDD04F1">
    <w:pPr>
      <w:tabs>
        <w:tab w:val="center" w:pos="4153"/>
        <w:tab w:val="right" w:pos="8306"/>
      </w:tabs>
      <w:snapToGrid w:val="0"/>
      <w:jc w:val="left"/>
      <w:rPr>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6849A">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CC3A5">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BBCC3A5">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06DE9">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7D7CC"/>
    <w:multiLevelType w:val="singleLevel"/>
    <w:tmpl w:val="4367D7CC"/>
    <w:lvl w:ilvl="0" w:tentative="0">
      <w:start w:val="2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D7A06"/>
    <w:rsid w:val="00284433"/>
    <w:rsid w:val="002A1EC6"/>
    <w:rsid w:val="002E035E"/>
    <w:rsid w:val="004151FC"/>
    <w:rsid w:val="006B16C5"/>
    <w:rsid w:val="00776133"/>
    <w:rsid w:val="00855687"/>
    <w:rsid w:val="008C07DE"/>
    <w:rsid w:val="00A30CCE"/>
    <w:rsid w:val="00AC3E9C"/>
    <w:rsid w:val="00BC4F14"/>
    <w:rsid w:val="00BC62FB"/>
    <w:rsid w:val="00BF535F"/>
    <w:rsid w:val="00C02FC6"/>
    <w:rsid w:val="00C806B0"/>
    <w:rsid w:val="00E476EE"/>
    <w:rsid w:val="00EF035E"/>
    <w:rsid w:val="08780EDA"/>
    <w:rsid w:val="0C39243D"/>
    <w:rsid w:val="0E9A6C3B"/>
    <w:rsid w:val="135B199D"/>
    <w:rsid w:val="16E849C0"/>
    <w:rsid w:val="1A250E97"/>
    <w:rsid w:val="23451B6B"/>
    <w:rsid w:val="2FD710A3"/>
    <w:rsid w:val="328F3772"/>
    <w:rsid w:val="57BF1F7D"/>
    <w:rsid w:val="6E702895"/>
    <w:rsid w:val="79A41D09"/>
    <w:rsid w:val="7ECE42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20"/>
    <w:rPr>
      <w:i/>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5883</Words>
  <Characters>6125</Characters>
  <Lines>0</Lines>
  <Paragraphs>0</Paragraphs>
  <TotalTime>32</TotalTime>
  <ScaleCrop>false</ScaleCrop>
  <LinksUpToDate>false</LinksUpToDate>
  <CharactersWithSpaces>6829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何京应</dc:creator>
  <cp:lastModifiedBy>何京应</cp:lastModifiedBy>
  <dcterms:modified xsi:type="dcterms:W3CDTF">2025-03-10T05:50:38Z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2052-12.1.0.19770</vt:lpwstr>
  </property>
  <property fmtid="{D5CDD505-2E9C-101B-9397-08002B2CF9AE}" pid="4" name="ICV">
    <vt:lpwstr>E5809EE1FA6E4793A9E72490A4DCD861_12</vt:lpwstr>
  </property>
</Properties>
</file>